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1C0B99">
        <w:rPr>
          <w:rFonts w:ascii="Palatino Linotype" w:hAnsi="Palatino Linotype" w:cs="Arial"/>
          <w:b/>
          <w:bCs/>
          <w:sz w:val="23"/>
          <w:szCs w:val="23"/>
        </w:rPr>
        <w:t>4780</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4321AE" w:rsidRPr="004321AE" w:rsidRDefault="00E6179D">
          <w:pPr>
            <w:pStyle w:val="TDC1"/>
            <w:rPr>
              <w:rFonts w:asciiTheme="minorHAnsi" w:eastAsiaTheme="minorEastAsia" w:hAnsiTheme="minorHAnsi"/>
              <w:b w:val="0"/>
              <w:sz w:val="24"/>
              <w:szCs w:val="24"/>
              <w:lang w:eastAsia="es-MX"/>
            </w:rPr>
          </w:pPr>
          <w:r w:rsidRPr="004321AE">
            <w:rPr>
              <w:sz w:val="24"/>
              <w:szCs w:val="24"/>
            </w:rPr>
            <w:fldChar w:fldCharType="begin"/>
          </w:r>
          <w:r w:rsidRPr="004321AE">
            <w:rPr>
              <w:sz w:val="24"/>
              <w:szCs w:val="24"/>
            </w:rPr>
            <w:instrText xml:space="preserve"> TOC \o "1-3" \h \z \u </w:instrText>
          </w:r>
          <w:r w:rsidRPr="004321AE">
            <w:rPr>
              <w:sz w:val="24"/>
              <w:szCs w:val="24"/>
            </w:rPr>
            <w:fldChar w:fldCharType="separate"/>
          </w:r>
          <w:hyperlink w:anchor="_Toc2633989" w:history="1">
            <w:r w:rsidR="004321AE" w:rsidRPr="004321AE">
              <w:rPr>
                <w:rStyle w:val="Hipervnculo"/>
                <w:rFonts w:eastAsia="Times New Roman"/>
                <w:sz w:val="24"/>
                <w:szCs w:val="24"/>
              </w:rPr>
              <w:t>I.</w:t>
            </w:r>
            <w:r w:rsidR="004321AE" w:rsidRPr="004321AE">
              <w:rPr>
                <w:rFonts w:asciiTheme="minorHAnsi" w:eastAsiaTheme="minorEastAsia" w:hAnsiTheme="minorHAnsi"/>
                <w:b w:val="0"/>
                <w:sz w:val="24"/>
                <w:szCs w:val="24"/>
                <w:lang w:eastAsia="es-MX"/>
              </w:rPr>
              <w:tab/>
            </w:r>
            <w:r w:rsidR="004321AE" w:rsidRPr="004321AE">
              <w:rPr>
                <w:rStyle w:val="Hipervnculo"/>
                <w:rFonts w:eastAsia="Times New Roman"/>
                <w:sz w:val="24"/>
                <w:szCs w:val="24"/>
              </w:rPr>
              <w:t>Consideraciones Generales</w:t>
            </w:r>
            <w:r w:rsidR="004321AE" w:rsidRPr="004321AE">
              <w:rPr>
                <w:webHidden/>
                <w:sz w:val="24"/>
                <w:szCs w:val="24"/>
              </w:rPr>
              <w:tab/>
            </w:r>
            <w:r w:rsidR="004321AE" w:rsidRPr="004321AE">
              <w:rPr>
                <w:webHidden/>
                <w:sz w:val="24"/>
                <w:szCs w:val="24"/>
              </w:rPr>
              <w:fldChar w:fldCharType="begin"/>
            </w:r>
            <w:r w:rsidR="004321AE" w:rsidRPr="004321AE">
              <w:rPr>
                <w:webHidden/>
                <w:sz w:val="24"/>
                <w:szCs w:val="24"/>
              </w:rPr>
              <w:instrText xml:space="preserve"> PAGEREF _Toc2633989 \h </w:instrText>
            </w:r>
            <w:r w:rsidR="004321AE" w:rsidRPr="004321AE">
              <w:rPr>
                <w:webHidden/>
                <w:sz w:val="24"/>
                <w:szCs w:val="24"/>
              </w:rPr>
            </w:r>
            <w:r w:rsidR="004321AE" w:rsidRPr="004321AE">
              <w:rPr>
                <w:webHidden/>
                <w:sz w:val="24"/>
                <w:szCs w:val="24"/>
              </w:rPr>
              <w:fldChar w:fldCharType="separate"/>
            </w:r>
            <w:r w:rsidR="00113A44">
              <w:rPr>
                <w:webHidden/>
                <w:sz w:val="24"/>
                <w:szCs w:val="24"/>
              </w:rPr>
              <w:t>1</w:t>
            </w:r>
            <w:r w:rsidR="004321AE" w:rsidRPr="004321AE">
              <w:rPr>
                <w:webHidden/>
                <w:sz w:val="24"/>
                <w:szCs w:val="24"/>
              </w:rPr>
              <w:fldChar w:fldCharType="end"/>
            </w:r>
          </w:hyperlink>
        </w:p>
        <w:p w:rsidR="004321AE" w:rsidRPr="004321AE" w:rsidRDefault="007E0EB6">
          <w:pPr>
            <w:pStyle w:val="TDC1"/>
            <w:rPr>
              <w:rFonts w:asciiTheme="minorHAnsi" w:eastAsiaTheme="minorEastAsia" w:hAnsiTheme="minorHAnsi"/>
              <w:b w:val="0"/>
              <w:sz w:val="24"/>
              <w:szCs w:val="24"/>
              <w:lang w:eastAsia="es-MX"/>
            </w:rPr>
          </w:pPr>
          <w:hyperlink w:anchor="_Toc2633990" w:history="1">
            <w:r w:rsidR="004321AE" w:rsidRPr="004321AE">
              <w:rPr>
                <w:rStyle w:val="Hipervnculo"/>
                <w:rFonts w:eastAsia="Calibri"/>
                <w:sz w:val="24"/>
                <w:szCs w:val="24"/>
                <w:lang w:val="es-ES"/>
              </w:rPr>
              <w:t>II.</w:t>
            </w:r>
            <w:r w:rsidR="004321AE" w:rsidRPr="004321AE">
              <w:rPr>
                <w:rFonts w:asciiTheme="minorHAnsi" w:eastAsiaTheme="minorEastAsia" w:hAnsiTheme="minorHAnsi"/>
                <w:b w:val="0"/>
                <w:sz w:val="24"/>
                <w:szCs w:val="24"/>
                <w:lang w:eastAsia="es-MX"/>
              </w:rPr>
              <w:tab/>
            </w:r>
            <w:r w:rsidR="004321AE" w:rsidRPr="004321AE">
              <w:rPr>
                <w:rStyle w:val="Hipervnculo"/>
                <w:rFonts w:eastAsia="Calibri"/>
                <w:sz w:val="24"/>
                <w:szCs w:val="24"/>
                <w:lang w:val="es-ES"/>
              </w:rPr>
              <w:t>De los requerimientos planteados en el recurso de revisión.</w:t>
            </w:r>
            <w:r w:rsidR="004321AE" w:rsidRPr="004321AE">
              <w:rPr>
                <w:webHidden/>
                <w:sz w:val="24"/>
                <w:szCs w:val="24"/>
              </w:rPr>
              <w:tab/>
            </w:r>
            <w:r w:rsidR="004321AE" w:rsidRPr="004321AE">
              <w:rPr>
                <w:webHidden/>
                <w:sz w:val="24"/>
                <w:szCs w:val="24"/>
              </w:rPr>
              <w:fldChar w:fldCharType="begin"/>
            </w:r>
            <w:r w:rsidR="004321AE" w:rsidRPr="004321AE">
              <w:rPr>
                <w:webHidden/>
                <w:sz w:val="24"/>
                <w:szCs w:val="24"/>
              </w:rPr>
              <w:instrText xml:space="preserve"> PAGEREF _Toc2633990 \h </w:instrText>
            </w:r>
            <w:r w:rsidR="004321AE" w:rsidRPr="004321AE">
              <w:rPr>
                <w:webHidden/>
                <w:sz w:val="24"/>
                <w:szCs w:val="24"/>
              </w:rPr>
            </w:r>
            <w:r w:rsidR="004321AE" w:rsidRPr="004321AE">
              <w:rPr>
                <w:webHidden/>
                <w:sz w:val="24"/>
                <w:szCs w:val="24"/>
              </w:rPr>
              <w:fldChar w:fldCharType="separate"/>
            </w:r>
            <w:r w:rsidR="00113A44">
              <w:rPr>
                <w:webHidden/>
                <w:sz w:val="24"/>
                <w:szCs w:val="24"/>
              </w:rPr>
              <w:t>2</w:t>
            </w:r>
            <w:r w:rsidR="004321AE" w:rsidRPr="004321AE">
              <w:rPr>
                <w:webHidden/>
                <w:sz w:val="24"/>
                <w:szCs w:val="24"/>
              </w:rPr>
              <w:fldChar w:fldCharType="end"/>
            </w:r>
          </w:hyperlink>
        </w:p>
        <w:p w:rsidR="004321AE" w:rsidRPr="004321AE" w:rsidRDefault="007E0EB6">
          <w:pPr>
            <w:pStyle w:val="TDC2"/>
            <w:rPr>
              <w:rFonts w:asciiTheme="minorHAnsi" w:eastAsiaTheme="minorEastAsia" w:hAnsiTheme="minorHAnsi"/>
              <w:b w:val="0"/>
              <w:lang w:eastAsia="es-MX"/>
            </w:rPr>
          </w:pPr>
          <w:hyperlink w:anchor="_Toc2633991" w:history="1">
            <w:r w:rsidR="004321AE" w:rsidRPr="004321AE">
              <w:rPr>
                <w:rStyle w:val="Hipervnculo"/>
              </w:rPr>
              <w:t>III. Del Derecho de Acceso a la información pública y el deber de motivar.</w:t>
            </w:r>
            <w:r w:rsidR="004321AE" w:rsidRPr="004321AE">
              <w:rPr>
                <w:webHidden/>
              </w:rPr>
              <w:tab/>
            </w:r>
            <w:r w:rsidR="004321AE" w:rsidRPr="004321AE">
              <w:rPr>
                <w:webHidden/>
              </w:rPr>
              <w:fldChar w:fldCharType="begin"/>
            </w:r>
            <w:r w:rsidR="004321AE" w:rsidRPr="004321AE">
              <w:rPr>
                <w:webHidden/>
              </w:rPr>
              <w:instrText xml:space="preserve"> PAGEREF _Toc2633991 \h </w:instrText>
            </w:r>
            <w:r w:rsidR="004321AE" w:rsidRPr="004321AE">
              <w:rPr>
                <w:webHidden/>
              </w:rPr>
            </w:r>
            <w:r w:rsidR="004321AE" w:rsidRPr="004321AE">
              <w:rPr>
                <w:webHidden/>
              </w:rPr>
              <w:fldChar w:fldCharType="separate"/>
            </w:r>
            <w:r w:rsidR="00113A44">
              <w:rPr>
                <w:webHidden/>
              </w:rPr>
              <w:t>10</w:t>
            </w:r>
            <w:r w:rsidR="004321AE" w:rsidRPr="004321AE">
              <w:rPr>
                <w:webHidden/>
              </w:rPr>
              <w:fldChar w:fldCharType="end"/>
            </w:r>
          </w:hyperlink>
        </w:p>
        <w:p w:rsidR="004321AE" w:rsidRPr="004321AE" w:rsidRDefault="007E0EB6">
          <w:pPr>
            <w:pStyle w:val="TDC1"/>
            <w:rPr>
              <w:rFonts w:asciiTheme="minorHAnsi" w:eastAsiaTheme="minorEastAsia" w:hAnsiTheme="minorHAnsi"/>
              <w:b w:val="0"/>
              <w:sz w:val="24"/>
              <w:szCs w:val="24"/>
              <w:lang w:eastAsia="es-MX"/>
            </w:rPr>
          </w:pPr>
          <w:hyperlink w:anchor="_Toc2633992" w:history="1">
            <w:r w:rsidR="004321AE" w:rsidRPr="004321AE">
              <w:rPr>
                <w:rStyle w:val="Hipervnculo"/>
                <w:rFonts w:eastAsia="Calibri"/>
                <w:sz w:val="24"/>
                <w:szCs w:val="24"/>
              </w:rPr>
              <w:t>IV. Del Pronunciamiento simple</w:t>
            </w:r>
            <w:r w:rsidR="004321AE" w:rsidRPr="004321AE">
              <w:rPr>
                <w:webHidden/>
                <w:sz w:val="24"/>
                <w:szCs w:val="24"/>
              </w:rPr>
              <w:tab/>
            </w:r>
            <w:r w:rsidR="004321AE" w:rsidRPr="004321AE">
              <w:rPr>
                <w:webHidden/>
                <w:sz w:val="24"/>
                <w:szCs w:val="24"/>
              </w:rPr>
              <w:fldChar w:fldCharType="begin"/>
            </w:r>
            <w:r w:rsidR="004321AE" w:rsidRPr="004321AE">
              <w:rPr>
                <w:webHidden/>
                <w:sz w:val="24"/>
                <w:szCs w:val="24"/>
              </w:rPr>
              <w:instrText xml:space="preserve"> PAGEREF _Toc2633992 \h </w:instrText>
            </w:r>
            <w:r w:rsidR="004321AE" w:rsidRPr="004321AE">
              <w:rPr>
                <w:webHidden/>
                <w:sz w:val="24"/>
                <w:szCs w:val="24"/>
              </w:rPr>
            </w:r>
            <w:r w:rsidR="004321AE" w:rsidRPr="004321AE">
              <w:rPr>
                <w:webHidden/>
                <w:sz w:val="24"/>
                <w:szCs w:val="24"/>
              </w:rPr>
              <w:fldChar w:fldCharType="separate"/>
            </w:r>
            <w:r w:rsidR="00113A44">
              <w:rPr>
                <w:webHidden/>
                <w:sz w:val="24"/>
                <w:szCs w:val="24"/>
              </w:rPr>
              <w:t>15</w:t>
            </w:r>
            <w:r w:rsidR="004321AE" w:rsidRPr="004321AE">
              <w:rPr>
                <w:webHidden/>
                <w:sz w:val="24"/>
                <w:szCs w:val="24"/>
              </w:rPr>
              <w:fldChar w:fldCharType="end"/>
            </w:r>
          </w:hyperlink>
        </w:p>
        <w:p w:rsidR="004321AE" w:rsidRPr="004321AE" w:rsidRDefault="007E0EB6">
          <w:pPr>
            <w:pStyle w:val="TDC1"/>
            <w:rPr>
              <w:rFonts w:asciiTheme="minorHAnsi" w:eastAsiaTheme="minorEastAsia" w:hAnsiTheme="minorHAnsi"/>
              <w:b w:val="0"/>
              <w:sz w:val="24"/>
              <w:szCs w:val="24"/>
              <w:lang w:eastAsia="es-MX"/>
            </w:rPr>
          </w:pPr>
          <w:hyperlink w:anchor="_Toc2633993" w:history="1">
            <w:r w:rsidR="004321AE" w:rsidRPr="004321AE">
              <w:rPr>
                <w:rStyle w:val="Hipervnculo"/>
                <w:rFonts w:eastAsia="Calibri"/>
                <w:sz w:val="24"/>
                <w:szCs w:val="24"/>
              </w:rPr>
              <w:t>V. Conclusión.</w:t>
            </w:r>
            <w:r w:rsidR="004321AE" w:rsidRPr="004321AE">
              <w:rPr>
                <w:webHidden/>
                <w:sz w:val="24"/>
                <w:szCs w:val="24"/>
              </w:rPr>
              <w:tab/>
            </w:r>
            <w:r w:rsidR="004321AE" w:rsidRPr="004321AE">
              <w:rPr>
                <w:webHidden/>
                <w:sz w:val="24"/>
                <w:szCs w:val="24"/>
              </w:rPr>
              <w:fldChar w:fldCharType="begin"/>
            </w:r>
            <w:r w:rsidR="004321AE" w:rsidRPr="004321AE">
              <w:rPr>
                <w:webHidden/>
                <w:sz w:val="24"/>
                <w:szCs w:val="24"/>
              </w:rPr>
              <w:instrText xml:space="preserve"> PAGEREF _Toc2633993 \h </w:instrText>
            </w:r>
            <w:r w:rsidR="004321AE" w:rsidRPr="004321AE">
              <w:rPr>
                <w:webHidden/>
                <w:sz w:val="24"/>
                <w:szCs w:val="24"/>
              </w:rPr>
            </w:r>
            <w:r w:rsidR="004321AE" w:rsidRPr="004321AE">
              <w:rPr>
                <w:webHidden/>
                <w:sz w:val="24"/>
                <w:szCs w:val="24"/>
              </w:rPr>
              <w:fldChar w:fldCharType="separate"/>
            </w:r>
            <w:r w:rsidR="00113A44">
              <w:rPr>
                <w:webHidden/>
                <w:sz w:val="24"/>
                <w:szCs w:val="24"/>
              </w:rPr>
              <w:t>34</w:t>
            </w:r>
            <w:r w:rsidR="004321AE" w:rsidRPr="004321AE">
              <w:rPr>
                <w:webHidden/>
                <w:sz w:val="24"/>
                <w:szCs w:val="24"/>
              </w:rPr>
              <w:fldChar w:fldCharType="end"/>
            </w:r>
          </w:hyperlink>
        </w:p>
        <w:p w:rsidR="00E6179D" w:rsidRPr="004321AE" w:rsidRDefault="00E6179D" w:rsidP="00B73B30">
          <w:pPr>
            <w:spacing w:line="360" w:lineRule="auto"/>
            <w:rPr>
              <w:rFonts w:ascii="Palatino Linotype" w:hAnsi="Palatino Linotype"/>
              <w:b/>
              <w:sz w:val="24"/>
              <w:szCs w:val="24"/>
            </w:rPr>
          </w:pPr>
          <w:r w:rsidRPr="004321A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3398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E54A92">
        <w:rPr>
          <w:rFonts w:ascii="Palatino Linotype" w:eastAsia="Calibri" w:hAnsi="Palatino Linotype" w:cs="Arial"/>
          <w:sz w:val="24"/>
          <w:szCs w:val="24"/>
        </w:rPr>
        <w:t>l</w:t>
      </w:r>
      <w:r w:rsidR="001C0B99" w:rsidRPr="001C0B99">
        <w:t xml:space="preserve"> </w:t>
      </w:r>
      <w:r w:rsidR="001C0B99" w:rsidRPr="001C0B99">
        <w:rPr>
          <w:rFonts w:ascii="Palatino Linotype" w:eastAsia="Calibri" w:hAnsi="Palatino Linotype" w:cs="Arial"/>
          <w:b/>
          <w:sz w:val="24"/>
          <w:szCs w:val="24"/>
        </w:rPr>
        <w:t>Ayuntamiento de Cocotitlán</w:t>
      </w:r>
      <w:r w:rsidR="00E54A92" w:rsidRPr="001C0B99">
        <w:rPr>
          <w:rFonts w:ascii="Palatino Linotype" w:eastAsia="Calibri" w:hAnsi="Palatino Linotype" w:cs="Arial"/>
          <w:b/>
          <w:sz w:val="24"/>
          <w:szCs w:val="24"/>
        </w:rPr>
        <w:t>,</w:t>
      </w:r>
      <w:r w:rsidR="00E54A92">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1C0B99">
        <w:rPr>
          <w:rFonts w:ascii="Palatino Linotype" w:hAnsi="Palatino Linotype" w:cs="Arial"/>
          <w:b/>
          <w:bCs/>
          <w:sz w:val="24"/>
          <w:szCs w:val="24"/>
        </w:rPr>
        <w:t>780</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E54A92">
        <w:rPr>
          <w:rFonts w:ascii="Palatino Linotype" w:eastAsia="Calibri" w:hAnsi="Palatino Linotype" w:cs="Arial"/>
          <w:b/>
          <w:sz w:val="24"/>
          <w:szCs w:val="24"/>
        </w:rPr>
        <w:t xml:space="preserve">ORDENAR </w:t>
      </w:r>
      <w:r w:rsidRPr="00427B79">
        <w:rPr>
          <w:rFonts w:ascii="Palatino Linotype" w:eastAsia="Calibri" w:hAnsi="Palatino Linotype" w:cs="Arial"/>
          <w:sz w:val="24"/>
          <w:szCs w:val="24"/>
        </w:rPr>
        <w:t>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33990"/>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E54A92">
        <w:rPr>
          <w:rFonts w:ascii="Palatino Linotype" w:eastAsia="Calibri" w:hAnsi="Palatino Linotype" w:cs="Times New Roman"/>
          <w:sz w:val="24"/>
          <w:szCs w:val="24"/>
        </w:rPr>
        <w:t xml:space="preserve"> el </w:t>
      </w:r>
      <w:r w:rsidR="001C0B99" w:rsidRPr="001C0B99">
        <w:rPr>
          <w:rFonts w:ascii="Palatino Linotype" w:eastAsia="Calibri" w:hAnsi="Palatino Linotype" w:cs="Times New Roman"/>
          <w:b/>
          <w:sz w:val="24"/>
          <w:szCs w:val="24"/>
        </w:rPr>
        <w:t>Ayuntamiento de Cocotitlán,</w:t>
      </w:r>
      <w:r w:rsidR="001C0B99">
        <w:rPr>
          <w:rFonts w:ascii="Palatino Linotype" w:eastAsia="Calibri" w:hAnsi="Palatino Linotype" w:cs="Times New Roman"/>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1C0B99" w:rsidRDefault="001C0B99" w:rsidP="00C17563">
      <w:pPr>
        <w:pStyle w:val="Sinespaciado"/>
        <w:spacing w:line="360" w:lineRule="auto"/>
        <w:ind w:left="567" w:right="567"/>
        <w:jc w:val="both"/>
        <w:rPr>
          <w:rFonts w:ascii="Palatino Linotype" w:eastAsia="Calibri" w:hAnsi="Palatino Linotype" w:cs="Times New Roman"/>
          <w:sz w:val="24"/>
          <w:szCs w:val="24"/>
        </w:rPr>
      </w:pPr>
    </w:p>
    <w:p w:rsidR="001C0B99" w:rsidRPr="001C0B99" w:rsidRDefault="001C0B99" w:rsidP="001C0B99">
      <w:pPr>
        <w:spacing w:line="240" w:lineRule="auto"/>
        <w:ind w:left="851" w:right="850"/>
        <w:jc w:val="both"/>
        <w:rPr>
          <w:rFonts w:ascii="Palatino Linotype" w:hAnsi="Palatino Linotype" w:cs="Arial"/>
          <w:b/>
          <w:sz w:val="24"/>
        </w:rPr>
      </w:pPr>
      <w:r w:rsidRPr="001C0B99">
        <w:rPr>
          <w:rFonts w:ascii="Palatino Linotype" w:hAnsi="Palatino Linotype" w:cs="Arial"/>
          <w:b/>
          <w:sz w:val="24"/>
        </w:rPr>
        <w:t>00069/COCOTIT/IP/2018</w:t>
      </w:r>
    </w:p>
    <w:p w:rsidR="003D42E2" w:rsidRDefault="001C0B99" w:rsidP="001C0B99">
      <w:pPr>
        <w:spacing w:line="240" w:lineRule="auto"/>
        <w:ind w:left="851" w:right="850"/>
        <w:jc w:val="both"/>
        <w:rPr>
          <w:rFonts w:ascii="Palatino Linotype" w:hAnsi="Palatino Linotype" w:cs="Arial"/>
          <w:b/>
          <w:sz w:val="24"/>
        </w:rPr>
      </w:pPr>
      <w:r w:rsidRPr="001C0B99">
        <w:rPr>
          <w:rFonts w:ascii="Palatino Linotype" w:hAnsi="Palatino Linotype" w:cs="Arial"/>
          <w:b/>
          <w:sz w:val="24"/>
        </w:rPr>
        <w:t>“SE ADJUNTA DOCUMENTO” [Sic]</w:t>
      </w:r>
    </w:p>
    <w:p w:rsidR="001C0B99" w:rsidRDefault="001C0B99" w:rsidP="00F333C8">
      <w:pPr>
        <w:autoSpaceDE w:val="0"/>
        <w:autoSpaceDN w:val="0"/>
        <w:adjustRightInd w:val="0"/>
        <w:spacing w:line="360" w:lineRule="auto"/>
        <w:ind w:left="851" w:right="900"/>
        <w:jc w:val="both"/>
        <w:rPr>
          <w:rFonts w:ascii="Palatino Linotype" w:hAnsi="Palatino Linotype" w:cs="Arial"/>
          <w:noProof/>
          <w:lang w:eastAsia="es-MX"/>
        </w:rPr>
      </w:pPr>
    </w:p>
    <w:p w:rsidR="001C0B99" w:rsidRPr="001C0B99" w:rsidRDefault="001C0B99" w:rsidP="001C0B99">
      <w:pPr>
        <w:autoSpaceDE w:val="0"/>
        <w:autoSpaceDN w:val="0"/>
        <w:adjustRightInd w:val="0"/>
        <w:spacing w:line="360" w:lineRule="auto"/>
        <w:ind w:left="851" w:right="900"/>
        <w:jc w:val="both"/>
        <w:rPr>
          <w:rFonts w:ascii="Palatino Linotype" w:hAnsi="Palatino Linotype" w:cs="Arial"/>
          <w:noProof/>
          <w:sz w:val="24"/>
          <w:szCs w:val="24"/>
          <w:lang w:eastAsia="es-MX"/>
        </w:rPr>
      </w:pPr>
      <w:r w:rsidRPr="001C0B99">
        <w:rPr>
          <w:rFonts w:ascii="Palatino Linotype" w:hAnsi="Palatino Linotype" w:cs="Arial"/>
          <w:noProof/>
          <w:sz w:val="24"/>
          <w:szCs w:val="24"/>
          <w:lang w:eastAsia="es-MX"/>
        </w:rPr>
        <w:t xml:space="preserve">Anexando el documento denominado “Preguntas_Alumbrado_Nov_2018.pdf”, consistente de un cuestionario relativo al servicio de alumbrado público, del </w:t>
      </w:r>
      <w:r>
        <w:rPr>
          <w:rFonts w:ascii="Palatino Linotype" w:hAnsi="Palatino Linotype" w:cs="Arial"/>
          <w:noProof/>
          <w:sz w:val="24"/>
          <w:szCs w:val="24"/>
          <w:lang w:eastAsia="es-MX"/>
        </w:rPr>
        <w:t>que se hará mérito más adelante.</w:t>
      </w: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p>
    <w:p w:rsidR="000E4D6E" w:rsidRPr="002B6741" w:rsidRDefault="00E6179D" w:rsidP="001C0B99">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B01158">
        <w:rPr>
          <w:rFonts w:ascii="Palatino Linotype" w:eastAsia="Calibri" w:hAnsi="Palatino Linotype" w:cs="Arial"/>
          <w:sz w:val="24"/>
          <w:szCs w:val="24"/>
        </w:rPr>
        <w:t xml:space="preserve">l </w:t>
      </w:r>
      <w:r w:rsidR="001C0B99" w:rsidRPr="001C0B99">
        <w:rPr>
          <w:rFonts w:ascii="Palatino Linotype" w:eastAsia="Calibri" w:hAnsi="Palatino Linotype" w:cs="Arial"/>
          <w:b/>
          <w:sz w:val="24"/>
          <w:szCs w:val="24"/>
        </w:rPr>
        <w:t>Ayuntamiento de Cocotitlán,</w:t>
      </w:r>
      <w:r w:rsidR="001C0B99">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6F2672" w:rsidRPr="006E22C3" w:rsidRDefault="00480F5B" w:rsidP="006E22C3">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 xml:space="preserve">no colmó la solicitud de información por parte del solicitante, por </w:t>
      </w:r>
      <w:r w:rsidRPr="00CE55B7">
        <w:rPr>
          <w:rFonts w:ascii="Palatino Linotype" w:hAnsi="Palatino Linotype" w:cs="Arial"/>
          <w:sz w:val="24"/>
          <w:szCs w:val="24"/>
        </w:rPr>
        <w:lastRenderedPageBreak/>
        <w:t>lo que se</w:t>
      </w:r>
      <w:r w:rsidRPr="00CE55B7">
        <w:rPr>
          <w:rFonts w:ascii="Palatino Linotype" w:hAnsi="Palatino Linotype" w:cs="Arial"/>
          <w:b/>
          <w:sz w:val="24"/>
          <w:szCs w:val="24"/>
        </w:rPr>
        <w:t xml:space="preserve"> ORDENA</w:t>
      </w:r>
      <w:r w:rsidR="00B01158" w:rsidRPr="00B01158">
        <w:t xml:space="preserve"> </w:t>
      </w:r>
      <w:r w:rsidR="00B01158" w:rsidRPr="00B01158">
        <w:rPr>
          <w:rFonts w:ascii="Palatino Linotype" w:hAnsi="Palatino Linotype"/>
          <w:sz w:val="24"/>
          <w:szCs w:val="24"/>
        </w:rPr>
        <w:t>al</w:t>
      </w:r>
      <w:r w:rsidR="001C0B99" w:rsidRPr="001C0B99">
        <w:t xml:space="preserve"> </w:t>
      </w:r>
      <w:r w:rsidR="001C0B99" w:rsidRPr="001C0B99">
        <w:rPr>
          <w:rFonts w:ascii="Palatino Linotype" w:hAnsi="Palatino Linotype"/>
          <w:b/>
          <w:sz w:val="24"/>
          <w:szCs w:val="24"/>
        </w:rPr>
        <w:t>Ayuntamiento de Cocotitlán</w:t>
      </w:r>
      <w:r w:rsidR="00B01158" w:rsidRPr="00B01158">
        <w:rPr>
          <w:rFonts w:ascii="Palatino Linotype" w:hAnsi="Palatino Linotype" w:cs="Arial"/>
          <w:b/>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E22C3">
        <w:rPr>
          <w:rFonts w:ascii="Palatino Linotype" w:hAnsi="Palatino Linotype" w:cs="Arial"/>
          <w:sz w:val="24"/>
          <w:lang w:eastAsia="es-MX"/>
        </w:rPr>
        <w:t>lo siguiente:</w:t>
      </w:r>
    </w:p>
    <w:p w:rsidR="006E22C3" w:rsidRPr="006E22C3" w:rsidRDefault="006E22C3" w:rsidP="006E22C3">
      <w:pPr>
        <w:pStyle w:val="Prrafodelista"/>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1. El importe por concepto de alumbrado público facturado por CFE en el Ayuntamiento, desglosado por mes o bimestre, del periodo que comprende del primero de enero de dos mil trece al trece de noviembre de dos mil dieciocho.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2. El adeudo del Ayuntamiento por concepto de consumo de energía eléctrica en el alumbrado público ante CFE o cualquier otra empresa suministradora de energía eléctrica.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3.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4. La o las partidas presupuestales que se utilizaron y los montos que se pagaron por mes para cubrir la factura por concepto de consumo de energía eléctrica en el sistema de alumbrado público municipal del periodo que comprende del primero de enero de dos mil trece al trece de noviembre de dos mil dieciocho.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lastRenderedPageBreak/>
        <w:t>5.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6. El censo o documento en donde conste los relativo al alumbrado público de los ejercicios 2016, 2017, 2018 o en su caso, el censo más reciente del municipio, en el que se advierta la siguiente información: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a) La cantidad de luminarias y balastros, el tipo de equipos, la capacidad (potencia), la ubicación (calle y/o colonia y/o delegación), y el tipo de poste en el que están montadas las luminarias (lámina, concreto, madera etcétera).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b) La cantidad de luminarias y balastros instalados, el tipo de equipos y su capacidad (potencia) instalados en las avenidas principales del municipio.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c) La cantidad de luminarias y balastros instalados, el tipo de equipos y su capacidad (potencia) instalados que poseen equipo de medición.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7. El Registro Móvil de Usuario asignado (s) al servicio de alumbrado público municipal tanto del servicio estimado como del servicio medido.</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8. De los proyectos de electrificación para ampliar el sistema de alumbrado público y ofrecer este servicio a la o las comunidades del periodo que comprende </w:t>
      </w:r>
      <w:r w:rsidRPr="006E22C3">
        <w:rPr>
          <w:rFonts w:ascii="Palatino Linotype" w:hAnsi="Palatino Linotype"/>
          <w:sz w:val="24"/>
          <w:szCs w:val="24"/>
        </w:rPr>
        <w:lastRenderedPageBreak/>
        <w:t xml:space="preserve">del primero de enero de dos mil trece al trece de noviembre de dos mil dieciocho, remitir la siguiente información: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a) El monto total de la inversión,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b) El tipo o fuente de financiamiento (recurso propio, recurso estatal, recurso federal, crédito, arrendamiento, APP, etcétera),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c) La cantidad de equipos colocados y/o sustituidos,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d) El tipo de equipos (Led, VSAP, suburbana, etcétera),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e) La capacidad instalada (potencia),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f) La ubicación (calle y/o colonia y/o delegación).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g) La fecha de inicio y término de obra,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h) La fecha de modificación de su nuevo consumo en el sistema de facturación del alumbrado público ante CFE.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i) Lugar de notificación o publicación de los proyectos.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9. De los proyectos parciales o totales de modernización de alumbrado público para generar eficiencia energética en sus consumos del periodo que comprende del primero de enero de dos mil trece al trece de noviembre de dos mil dieciocho, remitir la siguiente información: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a) El monto total de la inversión,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lastRenderedPageBreak/>
        <w:t xml:space="preserve">b) El tipo o fuente de financiamiento (recurso propio, recurso estatal, recurso federal, crédito, arrendamiento, APP, etcétera),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c) La cantidad de equipos colocados y/o sustituidos,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d) El tipo de equipos (Led, VSAP, suburbana, etcétera),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e) La capacidad instalada (potencia),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f) La ubicación (calle y/o colonia y/o delegación).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g) La fecha de inicio y término de obra,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h) La georreferenciación de cada uno de los puntos de luz del nuevo alumbrado público,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i) La fecha de modificación de su nuevo consumo en el sistema de facturación del alumbrado público ante CFE.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j) El tipo de contrato celebrado para la adquisición de los nuevos equipos (licitación en su modalidad abierta o restringida, o adjudicación directa)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k) Número y nombre de las empresas concursantes o convocadas.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l) Los criterios de selección utilizados por el comité de adquisiciones para elegir a la empresa contratada para realizar la modernización del sistema de alumbrado público.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m) El acta de cabildo en el cual se fundamenta, justifica, expone y autoriza el proyecto.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10. El número de solicitudes ciudadanas formales realizadas al Ayuntamiento para ampliar el sistema de alumbrado público mediante proyectos de </w:t>
      </w:r>
      <w:r w:rsidRPr="006E22C3">
        <w:rPr>
          <w:rFonts w:ascii="Palatino Linotype" w:hAnsi="Palatino Linotype"/>
          <w:sz w:val="24"/>
          <w:szCs w:val="24"/>
        </w:rPr>
        <w:lastRenderedPageBreak/>
        <w:t xml:space="preserve">electrificación del periodo que comprende del primero de enero de dos mil trece al trece de noviembre de dos mil dieciocho.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11. El número de solicitudes ciudadanas que fueron atendidas y concluidas para ampliar el sistema de alumbrado público del periodo que comprende del primero de enero de dos mil trece al trece de noviembre de dos mil dieciocho.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12. El contrato de prestación de servicios por concepto de suministro de energía eléctrica por parte de la CFE al Ayuntamiento.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13. El último convenio de “Peso por Peso” firmado entre la CFE y el Ayuntamiento al trece de noviembre de dos mil dieciocho.</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14. El convenio para recaudar el Derecho de Alumbrado Público “DAP” firmado entre la CFE y el Ayuntamiento. Así como la recaudación (monto) reportado por CFE al Ayuntamiento del periodo que comprende del primero de enero de dos mil trece al trece de noviembre de dos mil dieciocho.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15. El número de juicios y controversias promovidos por particulares en contra del Ayuntamiento por el cobro del Derecho de Alumbrado Público “DAP” del periodo que comprende del primero de enero de dos mil trece al trece de noviembre de dos mil dieciocho.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16. El número de juicios y controversias perdidos y ganados por el Ayuntamiento ante los particulares que reclaman el pago indebido del Derecho de Alumbrado Público del periodo que comprende del primero de enero de dos mil trece al trece de noviembre de dos mil dieciocho.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 xml:space="preserve">17. Las normas y lineamientos que el municipio sigue para operar y proporcionar el servicio de alumbrado público municipal.  </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6E22C3" w:rsidRDefault="006E22C3" w:rsidP="006E22C3">
      <w:pPr>
        <w:pStyle w:val="Prrafodelista"/>
        <w:spacing w:before="120" w:after="120" w:line="360" w:lineRule="auto"/>
        <w:ind w:left="360" w:right="49"/>
        <w:jc w:val="both"/>
        <w:rPr>
          <w:rFonts w:ascii="Palatino Linotype" w:hAnsi="Palatino Linotype"/>
          <w:sz w:val="24"/>
          <w:szCs w:val="24"/>
        </w:rPr>
      </w:pPr>
      <w:r w:rsidRPr="006E22C3">
        <w:rPr>
          <w:rFonts w:ascii="Palatino Linotype" w:hAnsi="Palatino Linotype"/>
          <w:sz w:val="24"/>
          <w:szCs w:val="24"/>
        </w:rPr>
        <w:t>En el supuesto de que la información referida en los puntos 2, 9, 10, 11, 13, 14, 15 y 16 no haya sido generada, poseída o administrada por el Sujeto Obligado, bastará con que así lo manifieste.</w:t>
      </w:r>
    </w:p>
    <w:p w:rsidR="006E22C3" w:rsidRPr="006E22C3" w:rsidRDefault="006E22C3" w:rsidP="006E22C3">
      <w:pPr>
        <w:pStyle w:val="Prrafodelista"/>
        <w:spacing w:before="120" w:after="120" w:line="360" w:lineRule="auto"/>
        <w:ind w:left="360" w:right="49"/>
        <w:jc w:val="both"/>
        <w:rPr>
          <w:rFonts w:ascii="Palatino Linotype" w:hAnsi="Palatino Linotype"/>
          <w:sz w:val="24"/>
          <w:szCs w:val="24"/>
        </w:rPr>
      </w:pPr>
    </w:p>
    <w:p w:rsidR="001A5DCA" w:rsidRPr="00720807" w:rsidRDefault="00594E5C" w:rsidP="006E22C3">
      <w:pPr>
        <w:pStyle w:val="Prrafodelista"/>
        <w:numPr>
          <w:ilvl w:val="0"/>
          <w:numId w:val="1"/>
        </w:numPr>
        <w:spacing w:before="240" w:after="240" w:line="360" w:lineRule="auto"/>
        <w:ind w:right="49"/>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A565E0">
        <w:rPr>
          <w:rFonts w:ascii="Palatino Linotype" w:eastAsia="Times New Roman" w:hAnsi="Palatino Linotype" w:cs="Arial"/>
          <w:sz w:val="24"/>
        </w:rPr>
        <w:t>los numerales</w:t>
      </w:r>
      <w:r w:rsidR="006E22C3">
        <w:rPr>
          <w:rFonts w:ascii="Palatino Linotype" w:eastAsia="Times New Roman" w:hAnsi="Palatino Linotype" w:cs="Arial"/>
          <w:sz w:val="24"/>
        </w:rPr>
        <w:t xml:space="preserve"> </w:t>
      </w:r>
      <w:r w:rsidR="006E22C3" w:rsidRPr="006E22C3">
        <w:rPr>
          <w:rFonts w:ascii="Palatino Linotype" w:eastAsia="Times New Roman" w:hAnsi="Palatino Linotype" w:cs="Arial"/>
          <w:sz w:val="24"/>
        </w:rPr>
        <w:t>2, 9, 10, 11, 13, 14, 15 y 16</w:t>
      </w:r>
      <w:r w:rsidR="006E22C3">
        <w:rPr>
          <w:rFonts w:ascii="Palatino Linotype" w:eastAsia="Times New Roman" w:hAnsi="Palatino Linotype" w:cs="Arial"/>
          <w:sz w:val="24"/>
        </w:rPr>
        <w:t xml:space="preserve"> </w:t>
      </w:r>
      <w:r w:rsidR="00856D24">
        <w:rPr>
          <w:rFonts w:ascii="Palatino Linotype" w:eastAsia="Times New Roman" w:hAnsi="Palatino Linotype" w:cs="Arial"/>
          <w:sz w:val="24"/>
        </w:rPr>
        <w:t>)</w:t>
      </w:r>
      <w:r w:rsidR="00871B60">
        <w:rPr>
          <w:rFonts w:ascii="Palatino Linotype" w:eastAsia="Times New Roman" w:hAnsi="Palatino Linotype" w:cs="Arial"/>
          <w:sz w:val="24"/>
        </w:rPr>
        <w:t>:</w:t>
      </w:r>
    </w:p>
    <w:p w:rsidR="006E22C3" w:rsidRDefault="006E22C3" w:rsidP="00720807">
      <w:pPr>
        <w:pStyle w:val="Prrafodelista"/>
        <w:spacing w:before="240" w:after="240" w:line="360" w:lineRule="auto"/>
        <w:ind w:left="0" w:right="49"/>
        <w:jc w:val="both"/>
        <w:rPr>
          <w:rFonts w:ascii="Palatino Linotype" w:eastAsia="Times New Roman" w:hAnsi="Palatino Linotype" w:cs="Arial"/>
          <w:sz w:val="24"/>
        </w:rPr>
      </w:pPr>
    </w:p>
    <w:p w:rsidR="004C5E6A" w:rsidRDefault="006E22C3" w:rsidP="00720807">
      <w:pPr>
        <w:pStyle w:val="Prrafodelista"/>
        <w:spacing w:before="240" w:after="240" w:line="360" w:lineRule="auto"/>
        <w:ind w:left="0" w:right="49"/>
        <w:jc w:val="both"/>
        <w:rPr>
          <w:rFonts w:ascii="Palatino Linotype" w:eastAsia="Times New Roman" w:hAnsi="Palatino Linotype" w:cs="Arial"/>
          <w:sz w:val="24"/>
        </w:rPr>
      </w:pPr>
      <w:r w:rsidRPr="006E22C3">
        <w:rPr>
          <w:rFonts w:ascii="Palatino Linotype" w:eastAsia="Times New Roman" w:hAnsi="Palatino Linotype" w:cs="Arial"/>
          <w:sz w:val="24"/>
        </w:rPr>
        <w:t>En el supuesto de que la información referida en los puntos 2, 9, 10, 11, 13, 14, 15 y 16 no haya sido generada, poseída o administrada por el Sujeto Obligado, bastará con que así lo manifieste.</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3399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 xml:space="preserve">Ley General de Transparencia y Acceso </w:t>
      </w:r>
      <w:r w:rsidRPr="00427B79">
        <w:rPr>
          <w:rFonts w:ascii="Palatino Linotype" w:hAnsi="Palatino Linotype"/>
          <w:b/>
          <w:sz w:val="24"/>
          <w:szCs w:val="24"/>
        </w:rPr>
        <w:lastRenderedPageBreak/>
        <w:t>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3399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9B1407" w:rsidRDefault="00930D53" w:rsidP="009B1407">
      <w:r>
        <w:rPr>
          <w:noProof/>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196850</wp:posOffset>
                </wp:positionV>
                <wp:extent cx="5743575" cy="4457700"/>
                <wp:effectExtent l="19050" t="19050" r="28575" b="19050"/>
                <wp:wrapNone/>
                <wp:docPr id="6" name="Conector recto 6"/>
                <wp:cNvGraphicFramePr/>
                <a:graphic xmlns:a="http://schemas.openxmlformats.org/drawingml/2006/main">
                  <a:graphicData uri="http://schemas.microsoft.com/office/word/2010/wordprocessingShape">
                    <wps:wsp>
                      <wps:cNvCnPr/>
                      <wps:spPr>
                        <a:xfrm>
                          <a:off x="0" y="0"/>
                          <a:ext cx="5743575" cy="44577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0482D"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pt" to="45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" strokecolor="#5b9bd5 [3204]" strokeweight="2.25pt">
                <v:stroke joinstyle="miter"/>
                <w10:wrap anchorx="margin"/>
              </v:line>
            </w:pict>
          </mc:Fallback>
        </mc:AlternateContent>
      </w:r>
    </w:p>
    <w:p w:rsidR="00930D53" w:rsidRDefault="00930D53" w:rsidP="009B1407"/>
    <w:p w:rsidR="00930D53" w:rsidRDefault="00930D53" w:rsidP="009B1407"/>
    <w:p w:rsidR="00930D53" w:rsidRDefault="00930D53" w:rsidP="009B1407"/>
    <w:p w:rsidR="00930D53" w:rsidRDefault="00930D53" w:rsidP="009B1407"/>
    <w:p w:rsidR="00930D53" w:rsidRDefault="00930D53" w:rsidP="009B1407"/>
    <w:p w:rsidR="00930D53" w:rsidRDefault="00930D53" w:rsidP="009B1407"/>
    <w:p w:rsidR="00930D53" w:rsidRDefault="00930D53" w:rsidP="009B1407"/>
    <w:p w:rsidR="00930D53" w:rsidRDefault="00930D53" w:rsidP="009B1407"/>
    <w:p w:rsidR="00930D53" w:rsidRDefault="00930D53" w:rsidP="009B1407"/>
    <w:p w:rsidR="00930D53" w:rsidRDefault="00930D53" w:rsidP="009B1407"/>
    <w:p w:rsidR="00930D53" w:rsidRDefault="00930D53" w:rsidP="009B1407"/>
    <w:p w:rsidR="00930D53" w:rsidRDefault="00930D53" w:rsidP="009B1407"/>
    <w:p w:rsidR="00930D53" w:rsidRPr="009B1407" w:rsidRDefault="00930D53" w:rsidP="009B1407"/>
    <w:p w:rsidR="00E6179D" w:rsidRPr="0083488C" w:rsidRDefault="00CD53CB" w:rsidP="00CD53CB">
      <w:pPr>
        <w:pStyle w:val="Ttulo1"/>
        <w:rPr>
          <w:rFonts w:eastAsia="Calibri"/>
          <w:szCs w:val="24"/>
        </w:rPr>
      </w:pPr>
      <w:bookmarkStart w:id="6" w:name="_Toc2633993"/>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A57804" w:rsidRDefault="00A57804" w:rsidP="00E6179D">
      <w:pPr>
        <w:rPr>
          <w:rFonts w:ascii="Palatino Linotype" w:hAnsi="Palatino Linotype"/>
          <w:color w:val="000000" w:themeColor="text1"/>
          <w:sz w:val="24"/>
          <w:szCs w:val="24"/>
        </w:rPr>
      </w:pPr>
    </w:p>
    <w:p w:rsidR="00A57804" w:rsidRDefault="00A57804" w:rsidP="00E6179D">
      <w:pPr>
        <w:rPr>
          <w:rFonts w:ascii="Palatino Linotype" w:hAnsi="Palatino Linotype"/>
          <w:color w:val="000000" w:themeColor="text1"/>
          <w:sz w:val="24"/>
          <w:szCs w:val="24"/>
        </w:rPr>
      </w:pPr>
    </w:p>
    <w:p w:rsidR="00A57804" w:rsidRDefault="00A57804"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EB6" w:rsidRDefault="007E0EB6" w:rsidP="00E82D3D">
      <w:pPr>
        <w:spacing w:after="0" w:line="240" w:lineRule="auto"/>
      </w:pPr>
      <w:r>
        <w:separator/>
      </w:r>
    </w:p>
  </w:endnote>
  <w:endnote w:type="continuationSeparator" w:id="0">
    <w:p w:rsidR="007E0EB6" w:rsidRDefault="007E0EB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B76D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B76D9">
              <w:rPr>
                <w:b/>
                <w:bCs/>
                <w:noProof/>
              </w:rPr>
              <w:t>34</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EB6" w:rsidRDefault="007E0EB6" w:rsidP="00E82D3D">
      <w:pPr>
        <w:spacing w:after="0" w:line="240" w:lineRule="auto"/>
      </w:pPr>
      <w:r>
        <w:separator/>
      </w:r>
    </w:p>
  </w:footnote>
  <w:footnote w:type="continuationSeparator" w:id="0">
    <w:p w:rsidR="007E0EB6" w:rsidRDefault="007E0EB6"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E0EB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E0EB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E0EB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286E"/>
    <w:rsid w:val="00113A44"/>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0B99"/>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21AE"/>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C5E6A"/>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3"/>
    <w:rsid w:val="006E22C9"/>
    <w:rsid w:val="006F081D"/>
    <w:rsid w:val="006F0A01"/>
    <w:rsid w:val="006F2672"/>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0EB6"/>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0D53"/>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B76D9"/>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565E0"/>
    <w:rsid w:val="00A57804"/>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1158"/>
    <w:rsid w:val="00B07ADB"/>
    <w:rsid w:val="00B16CE1"/>
    <w:rsid w:val="00B2190C"/>
    <w:rsid w:val="00B21F85"/>
    <w:rsid w:val="00B224AB"/>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560D5"/>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77C1F"/>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54A92"/>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4E40"/>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02A0-6208-49BD-9B86-7A16AECF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6516</Words>
  <Characters>35843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2019-03-05T18:30:00Z</cp:lastPrinted>
  <dcterms:created xsi:type="dcterms:W3CDTF">2019-03-13T23:32:00Z</dcterms:created>
  <dcterms:modified xsi:type="dcterms:W3CDTF">2019-03-13T23:32:00Z</dcterms:modified>
</cp:coreProperties>
</file>